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481B" w:rsidRDefault="007A1FD0" w:rsidP="007A1FD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481B">
        <w:rPr>
          <w:rFonts w:ascii="Times New Roman" w:hAnsi="Times New Roman" w:cs="Times New Roman"/>
          <w:sz w:val="28"/>
          <w:szCs w:val="28"/>
          <w:u w:val="single"/>
        </w:rPr>
        <w:t>Родительское собрание. 6.09.2012</w:t>
      </w:r>
    </w:p>
    <w:p w:rsidR="007A1FD0" w:rsidRDefault="007A1FD0" w:rsidP="007A1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(ЕГЭ, ГИА)</w:t>
      </w:r>
    </w:p>
    <w:p w:rsidR="007A1FD0" w:rsidRDefault="007A1FD0" w:rsidP="007A1F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9-х классов должны  сдавать не более пяти предметов: три обязательных (русский язык, математика, татарский язык) и один или два по выбору учащегося. </w:t>
      </w:r>
      <w:r w:rsidRPr="006441CA">
        <w:rPr>
          <w:rFonts w:ascii="Times New Roman" w:hAnsi="Times New Roman" w:cs="Times New Roman"/>
          <w:sz w:val="28"/>
          <w:szCs w:val="28"/>
        </w:rPr>
        <w:t xml:space="preserve">В этом учебном году учащиеся </w:t>
      </w:r>
      <w:r>
        <w:rPr>
          <w:rFonts w:ascii="Times New Roman" w:hAnsi="Times New Roman" w:cs="Times New Roman"/>
          <w:sz w:val="28"/>
          <w:szCs w:val="28"/>
        </w:rPr>
        <w:t xml:space="preserve">могли выбрать форму сдачи обязательного экзамена по татарскому языку (традиционная или новая).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Остальные экзамены по выбору учащегося (история, обществознание, литература, физика, химия, биология, информатика, немецкий язык</w:t>
      </w:r>
      <w:r w:rsidR="00B33F71">
        <w:rPr>
          <w:rFonts w:ascii="Times New Roman" w:hAnsi="Times New Roman" w:cs="Times New Roman"/>
          <w:sz w:val="28"/>
          <w:szCs w:val="28"/>
        </w:rPr>
        <w:t>, география</w:t>
      </w:r>
      <w:r>
        <w:rPr>
          <w:rFonts w:ascii="Times New Roman" w:hAnsi="Times New Roman" w:cs="Times New Roman"/>
          <w:sz w:val="28"/>
          <w:szCs w:val="28"/>
        </w:rPr>
        <w:t>) сдаются в новой форме (ЕГЭ).</w:t>
      </w:r>
      <w:proofErr w:type="gramEnd"/>
      <w:r w:rsidR="001F3B52">
        <w:rPr>
          <w:rFonts w:ascii="Times New Roman" w:hAnsi="Times New Roman" w:cs="Times New Roman"/>
          <w:sz w:val="28"/>
          <w:szCs w:val="28"/>
        </w:rPr>
        <w:t xml:space="preserve"> Формируется электронная база данных о выбранных экзаменах. С декабря мы собираем предварительные заявки</w:t>
      </w:r>
      <w:r w:rsidR="0019481B">
        <w:rPr>
          <w:rFonts w:ascii="Times New Roman" w:hAnsi="Times New Roman" w:cs="Times New Roman"/>
          <w:sz w:val="28"/>
          <w:szCs w:val="28"/>
        </w:rPr>
        <w:t>, в марте – апреле подаем окончательные сведения в министерство. Поэтому необходимо ответственно отнестись к выбору экзамена и вести целенаправленную подготовку к сдаче экзамена.</w:t>
      </w:r>
    </w:p>
    <w:p w:rsidR="007A1FD0" w:rsidRDefault="007A1FD0" w:rsidP="007A1F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традиционной форме в щадящем режиме  можно сдавать экзамены по состоянию здоровья (необходима справка). </w:t>
      </w:r>
      <w:r w:rsidR="0019481B">
        <w:rPr>
          <w:rFonts w:ascii="Times New Roman" w:hAnsi="Times New Roman" w:cs="Times New Roman"/>
          <w:sz w:val="28"/>
          <w:szCs w:val="28"/>
        </w:rPr>
        <w:t>Мы просим сообщить своевременно об этом классным руководителям.</w:t>
      </w:r>
    </w:p>
    <w:p w:rsidR="007A1FD0" w:rsidRPr="00D72623" w:rsidRDefault="007A1FD0" w:rsidP="007A1FD0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41CA">
        <w:rPr>
          <w:rFonts w:ascii="Times New Roman" w:hAnsi="Times New Roman"/>
          <w:sz w:val="28"/>
          <w:szCs w:val="28"/>
        </w:rPr>
        <w:t>По сравнению с 20</w:t>
      </w:r>
      <w:r>
        <w:rPr>
          <w:rFonts w:ascii="Times New Roman" w:hAnsi="Times New Roman"/>
          <w:sz w:val="28"/>
          <w:szCs w:val="28"/>
        </w:rPr>
        <w:t>10</w:t>
      </w:r>
      <w:r w:rsidRPr="006441CA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1</w:t>
      </w:r>
      <w:r w:rsidRPr="006441CA">
        <w:rPr>
          <w:rFonts w:ascii="Times New Roman" w:hAnsi="Times New Roman"/>
          <w:sz w:val="28"/>
          <w:szCs w:val="28"/>
        </w:rPr>
        <w:t xml:space="preserve"> учебным годом вырос средний балл по </w:t>
      </w:r>
      <w:proofErr w:type="spellStart"/>
      <w:r w:rsidRPr="006441CA">
        <w:rPr>
          <w:rFonts w:ascii="Times New Roman" w:hAnsi="Times New Roman"/>
          <w:sz w:val="28"/>
          <w:szCs w:val="28"/>
        </w:rPr>
        <w:t>по</w:t>
      </w:r>
      <w:proofErr w:type="spellEnd"/>
      <w:r w:rsidRPr="006441CA">
        <w:rPr>
          <w:rFonts w:ascii="Times New Roman" w:hAnsi="Times New Roman"/>
          <w:sz w:val="28"/>
          <w:szCs w:val="28"/>
        </w:rPr>
        <w:t xml:space="preserve"> русскому языку: 201</w:t>
      </w:r>
      <w:r>
        <w:rPr>
          <w:rFonts w:ascii="Times New Roman" w:hAnsi="Times New Roman"/>
          <w:sz w:val="28"/>
          <w:szCs w:val="28"/>
        </w:rPr>
        <w:t>1</w:t>
      </w:r>
      <w:r w:rsidRPr="006441C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3,8</w:t>
      </w:r>
      <w:r w:rsidRPr="006441CA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2</w:t>
      </w:r>
      <w:r w:rsidRPr="006441C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4,1. </w:t>
      </w:r>
      <w:r w:rsidR="00B33F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B33F71">
        <w:rPr>
          <w:rFonts w:ascii="Times New Roman" w:hAnsi="Times New Roman"/>
          <w:sz w:val="28"/>
          <w:szCs w:val="28"/>
        </w:rPr>
        <w:t xml:space="preserve"> написал</w:t>
      </w:r>
      <w:r>
        <w:rPr>
          <w:rFonts w:ascii="Times New Roman" w:hAnsi="Times New Roman"/>
          <w:sz w:val="28"/>
          <w:szCs w:val="28"/>
        </w:rPr>
        <w:t xml:space="preserve"> на «2». В результате качество составило: 77,2%, успеваемость 98,7%. Максимальное количество верных ответов (100%) показали </w:t>
      </w:r>
      <w:proofErr w:type="spellStart"/>
      <w:r>
        <w:rPr>
          <w:rFonts w:ascii="Times New Roman" w:hAnsi="Times New Roman"/>
          <w:sz w:val="28"/>
          <w:szCs w:val="28"/>
        </w:rPr>
        <w:t>Гильманова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К., Ваняшина П., </w:t>
      </w:r>
      <w:proofErr w:type="spellStart"/>
      <w:r>
        <w:rPr>
          <w:rFonts w:ascii="Times New Roman" w:hAnsi="Times New Roman"/>
          <w:sz w:val="28"/>
          <w:szCs w:val="28"/>
        </w:rPr>
        <w:t>Нуртдинова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Д.(9Б).</w:t>
      </w:r>
    </w:p>
    <w:p w:rsidR="007A1FD0" w:rsidRPr="00D72623" w:rsidRDefault="007A1FD0" w:rsidP="007A1FD0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математике средний балл понизился с 4,2 б (2011 г.) до 3,6 б (2012 г.). 11 человек получило «2» и пересдавали в резервный день 25 июня 2012 г. Качество составило: 48,1%, успеваемость 86,1%. В результате пересдачи успеваемость стала</w:t>
      </w:r>
      <w:r w:rsidRPr="00F42102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Максимальное количество верных ответов (100%) показал Ахметов Ф.(9Б)</w:t>
      </w:r>
      <w:r w:rsidR="00B33F71">
        <w:rPr>
          <w:rFonts w:ascii="Times New Roman" w:hAnsi="Times New Roman"/>
          <w:sz w:val="28"/>
          <w:szCs w:val="28"/>
        </w:rPr>
        <w:t>.</w:t>
      </w:r>
    </w:p>
    <w:p w:rsidR="007A1FD0" w:rsidRDefault="00B33F71" w:rsidP="007A1FD0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получившие «2» по обязательным предметам имели возможность пересдать экзамен так же в новой форме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Учащимся, которые получили «2» по предметам по выбору, </w:t>
      </w:r>
      <w:r w:rsidR="007A1FD0">
        <w:rPr>
          <w:rFonts w:ascii="Times New Roman" w:hAnsi="Times New Roman"/>
          <w:sz w:val="28"/>
          <w:szCs w:val="28"/>
        </w:rPr>
        <w:t>1 балл</w:t>
      </w:r>
      <w:r>
        <w:rPr>
          <w:rFonts w:ascii="Times New Roman" w:hAnsi="Times New Roman"/>
          <w:sz w:val="28"/>
          <w:szCs w:val="28"/>
        </w:rPr>
        <w:t xml:space="preserve"> был прибавлен</w:t>
      </w:r>
      <w:r w:rsidR="007A1FD0">
        <w:rPr>
          <w:rFonts w:ascii="Times New Roman" w:hAnsi="Times New Roman"/>
          <w:sz w:val="28"/>
          <w:szCs w:val="28"/>
        </w:rPr>
        <w:t xml:space="preserve"> в соответствии с Письмом Министерства образования и науки «О выставлении итоговых оценок в аттестат об основном общем образовании», по которому выпускникам 9 классов по предметам по выбору в новой форме, получившим неудовлетворительную оценку, экзаменационная отметка выставляется с учетом одного дополнительного балла – «3».</w:t>
      </w:r>
      <w:proofErr w:type="gramEnd"/>
      <w:r>
        <w:rPr>
          <w:rFonts w:ascii="Times New Roman" w:hAnsi="Times New Roman"/>
          <w:sz w:val="28"/>
          <w:szCs w:val="28"/>
        </w:rPr>
        <w:t xml:space="preserve"> В следующем году это положение будет изменено.</w:t>
      </w:r>
    </w:p>
    <w:p w:rsidR="007A1FD0" w:rsidRPr="00D72623" w:rsidRDefault="007A1FD0" w:rsidP="007A1FD0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химии </w:t>
      </w:r>
      <w:r w:rsidR="00B33F71">
        <w:rPr>
          <w:rFonts w:ascii="Times New Roman" w:hAnsi="Times New Roman"/>
          <w:sz w:val="28"/>
          <w:szCs w:val="28"/>
        </w:rPr>
        <w:t>Сорокина Е.</w:t>
      </w:r>
      <w:r>
        <w:rPr>
          <w:rFonts w:ascii="Times New Roman" w:hAnsi="Times New Roman"/>
          <w:sz w:val="28"/>
          <w:szCs w:val="28"/>
        </w:rPr>
        <w:t xml:space="preserve"> (9А) выполнила задания экзамена на 100%.</w:t>
      </w:r>
    </w:p>
    <w:p w:rsidR="007A1FD0" w:rsidRDefault="007A1FD0" w:rsidP="007A1FD0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9481B" w:rsidRDefault="0019481B" w:rsidP="007A1FD0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1FD0" w:rsidRPr="0019481B" w:rsidRDefault="007A1FD0" w:rsidP="007A1FD0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9481B">
        <w:rPr>
          <w:rFonts w:ascii="Times New Roman" w:hAnsi="Times New Roman"/>
          <w:b/>
          <w:sz w:val="28"/>
          <w:szCs w:val="28"/>
        </w:rPr>
        <w:lastRenderedPageBreak/>
        <w:t>Результаты  экзаменов по выбору в новой форме:</w:t>
      </w:r>
    </w:p>
    <w:tbl>
      <w:tblPr>
        <w:tblStyle w:val="a4"/>
        <w:tblW w:w="0" w:type="auto"/>
        <w:tblLook w:val="04A0"/>
      </w:tblPr>
      <w:tblGrid>
        <w:gridCol w:w="2229"/>
        <w:gridCol w:w="1707"/>
        <w:gridCol w:w="2217"/>
        <w:gridCol w:w="1217"/>
        <w:gridCol w:w="2201"/>
      </w:tblGrid>
      <w:tr w:rsidR="007A1FD0" w:rsidTr="00591799">
        <w:tc>
          <w:tcPr>
            <w:tcW w:w="2229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70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2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1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оценка</w:t>
            </w:r>
          </w:p>
        </w:tc>
        <w:tc>
          <w:tcPr>
            <w:tcW w:w="2201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7A1FD0" w:rsidTr="00591799">
        <w:tc>
          <w:tcPr>
            <w:tcW w:w="2229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90,5</w:t>
            </w:r>
          </w:p>
        </w:tc>
        <w:tc>
          <w:tcPr>
            <w:tcW w:w="1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2201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Хлоплчкина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</w:tr>
      <w:tr w:rsidR="007A1FD0" w:rsidTr="00591799">
        <w:tc>
          <w:tcPr>
            <w:tcW w:w="2229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70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2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Зиннатова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И.Р.</w:t>
            </w:r>
          </w:p>
        </w:tc>
      </w:tr>
      <w:tr w:rsidR="007A1FD0" w:rsidTr="00591799">
        <w:tc>
          <w:tcPr>
            <w:tcW w:w="2229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70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201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Эткеева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</w:tr>
      <w:tr w:rsidR="007A1FD0" w:rsidTr="00591799">
        <w:tc>
          <w:tcPr>
            <w:tcW w:w="2229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70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1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Габдрахманова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</w:tr>
      <w:tr w:rsidR="007A1FD0" w:rsidTr="00591799">
        <w:tc>
          <w:tcPr>
            <w:tcW w:w="2229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2201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7A1FD0" w:rsidTr="00591799">
        <w:tc>
          <w:tcPr>
            <w:tcW w:w="2229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70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2201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Хлопочкина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</w:tr>
      <w:tr w:rsidR="007A1FD0" w:rsidTr="00591799">
        <w:tc>
          <w:tcPr>
            <w:tcW w:w="2229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70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201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Е.А.</w:t>
            </w:r>
          </w:p>
        </w:tc>
      </w:tr>
      <w:tr w:rsidR="007A1FD0" w:rsidTr="00591799">
        <w:tc>
          <w:tcPr>
            <w:tcW w:w="2229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70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73,1</w:t>
            </w:r>
          </w:p>
        </w:tc>
        <w:tc>
          <w:tcPr>
            <w:tcW w:w="2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7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4,16</w:t>
            </w:r>
          </w:p>
        </w:tc>
        <w:tc>
          <w:tcPr>
            <w:tcW w:w="2201" w:type="dxa"/>
          </w:tcPr>
          <w:p w:rsidR="007A1FD0" w:rsidRDefault="007A1FD0" w:rsidP="00591799">
            <w:pPr>
              <w:pStyle w:val="a3"/>
              <w:tabs>
                <w:tab w:val="left" w:pos="10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Евтюгина Г.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Л.</w:t>
            </w:r>
          </w:p>
        </w:tc>
      </w:tr>
    </w:tbl>
    <w:p w:rsidR="007A1FD0" w:rsidRDefault="007A1FD0" w:rsidP="007A1FD0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A1FD0" w:rsidRDefault="007A1FD0" w:rsidP="007A1FD0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33F71" w:rsidRDefault="003E7205" w:rsidP="00B33F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11-х классов должны  сдавать два обязательных (русский язык, математика), остальные экзамены по выбору учащегося. По</w:t>
      </w:r>
      <w:r w:rsidRPr="003E7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татарскому языку в конце учебного года проводится итоговая контрольная работа. </w:t>
      </w:r>
      <w:r w:rsidR="001F3B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1F3B52"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F3B52">
        <w:rPr>
          <w:rFonts w:ascii="Times New Roman" w:hAnsi="Times New Roman" w:cs="Times New Roman"/>
          <w:sz w:val="28"/>
          <w:szCs w:val="28"/>
        </w:rPr>
        <w:t xml:space="preserve">е мы собираем предварительную информацию о выбранных экзаменах, в феврале- месяце ВУЗы  определяют необходимые для поступления экзамены, и до 1 марта мы формируем электронную базу данных выбранных экзаменов. </w:t>
      </w:r>
      <w:r w:rsidR="001F3B52" w:rsidRPr="001F3B52">
        <w:rPr>
          <w:rFonts w:ascii="Times New Roman" w:hAnsi="Times New Roman" w:cs="Times New Roman"/>
          <w:sz w:val="28"/>
          <w:szCs w:val="28"/>
          <w:u w:val="single"/>
        </w:rPr>
        <w:t>После 1 марта изменить данные базы нельзя</w:t>
      </w:r>
      <w:r w:rsidR="001F3B52">
        <w:rPr>
          <w:rFonts w:ascii="Times New Roman" w:hAnsi="Times New Roman" w:cs="Times New Roman"/>
          <w:sz w:val="28"/>
          <w:szCs w:val="28"/>
        </w:rPr>
        <w:t xml:space="preserve">. </w:t>
      </w:r>
      <w:r w:rsidR="0019481B">
        <w:rPr>
          <w:rFonts w:ascii="Times New Roman" w:hAnsi="Times New Roman" w:cs="Times New Roman"/>
          <w:sz w:val="28"/>
          <w:szCs w:val="28"/>
        </w:rPr>
        <w:t>Эти данные согласуются с Москвой. Поэтому очень внимательно отнеситесь к выбору экзамена в необходимые сроки.</w:t>
      </w:r>
    </w:p>
    <w:p w:rsidR="001115DA" w:rsidRPr="00B86772" w:rsidRDefault="001115DA" w:rsidP="00B8677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6772">
        <w:rPr>
          <w:rFonts w:ascii="Times New Roman" w:hAnsi="Times New Roman" w:cs="Times New Roman"/>
          <w:sz w:val="28"/>
          <w:szCs w:val="28"/>
        </w:rPr>
        <w:t xml:space="preserve">При желании учащиеся могут сдавать ЕГЭ по татарскому языку (ЕРЭ). </w:t>
      </w:r>
    </w:p>
    <w:p w:rsidR="001115DA" w:rsidRPr="00B86772" w:rsidRDefault="001115DA" w:rsidP="00B8677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6772">
        <w:rPr>
          <w:rFonts w:ascii="Times New Roman" w:hAnsi="Times New Roman" w:cs="Times New Roman"/>
          <w:sz w:val="28"/>
          <w:szCs w:val="28"/>
        </w:rPr>
        <w:t xml:space="preserve">Если учащийся не преодолел минимальный порог по одному из обязательных предметов (русский, математика), ему дается  </w:t>
      </w:r>
      <w:r w:rsidR="00B86772" w:rsidRPr="00B86772">
        <w:rPr>
          <w:rFonts w:ascii="Times New Roman" w:hAnsi="Times New Roman" w:cs="Times New Roman"/>
          <w:sz w:val="28"/>
          <w:szCs w:val="28"/>
        </w:rPr>
        <w:t>возможность пересдать экзамен в дополнительный день. Если учащийся получает низкие баллы по обоим предметам, ему выдается справка об окончании школы.</w:t>
      </w:r>
    </w:p>
    <w:p w:rsidR="00B86772" w:rsidRPr="00B86772" w:rsidRDefault="00B86772" w:rsidP="00B8677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6772">
        <w:rPr>
          <w:rFonts w:ascii="Times New Roman" w:hAnsi="Times New Roman" w:cs="Times New Roman"/>
          <w:sz w:val="28"/>
          <w:szCs w:val="28"/>
        </w:rPr>
        <w:t>Если выпускник не смог присутствовать на экзамене по уважительной причине (подтвержденной документом), ему разрешается сдать экзамен в резервный день.</w:t>
      </w:r>
    </w:p>
    <w:p w:rsidR="00B86772" w:rsidRPr="00B86772" w:rsidRDefault="00B86772" w:rsidP="00B8677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86772">
        <w:rPr>
          <w:rFonts w:ascii="Times New Roman" w:hAnsi="Times New Roman" w:cs="Times New Roman"/>
          <w:sz w:val="28"/>
          <w:szCs w:val="28"/>
        </w:rPr>
        <w:t xml:space="preserve">Так же предусмотрена досрочная сдача экзаменов по уважительной причине (международные соревнования, переезд и </w:t>
      </w:r>
      <w:proofErr w:type="spellStart"/>
      <w:proofErr w:type="gramStart"/>
      <w:r w:rsidRPr="00B8677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B86772">
        <w:rPr>
          <w:rFonts w:ascii="Times New Roman" w:hAnsi="Times New Roman" w:cs="Times New Roman"/>
          <w:sz w:val="28"/>
          <w:szCs w:val="28"/>
        </w:rPr>
        <w:t>)</w:t>
      </w:r>
    </w:p>
    <w:p w:rsidR="00B86772" w:rsidRDefault="00B86772" w:rsidP="00B86772">
      <w:pPr>
        <w:pStyle w:val="a3"/>
        <w:tabs>
          <w:tab w:val="left" w:pos="1080"/>
        </w:tabs>
        <w:spacing w:after="0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3E7205" w:rsidRPr="00B86772" w:rsidRDefault="0019481B" w:rsidP="00B86772">
      <w:pPr>
        <w:pStyle w:val="a3"/>
        <w:tabs>
          <w:tab w:val="left" w:pos="1080"/>
        </w:tabs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B86772">
        <w:rPr>
          <w:rFonts w:ascii="Times New Roman" w:hAnsi="Times New Roman"/>
          <w:b/>
          <w:sz w:val="28"/>
          <w:szCs w:val="28"/>
        </w:rPr>
        <w:t>Итоги 2011/2012  гг.</w:t>
      </w:r>
    </w:p>
    <w:p w:rsidR="003E7205" w:rsidRDefault="003E7205" w:rsidP="003E7205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обязательным предметам русский язык и математика все учащиеся преодолели минимальный порог. Из предметов по выбору по истории </w:t>
      </w:r>
      <w:r w:rsidR="0019481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 физике </w:t>
      </w:r>
      <w:r w:rsidR="001115DA">
        <w:rPr>
          <w:rFonts w:ascii="Times New Roman" w:hAnsi="Times New Roman"/>
          <w:sz w:val="28"/>
          <w:szCs w:val="28"/>
        </w:rPr>
        <w:t xml:space="preserve">2 ученика </w:t>
      </w:r>
      <w:r>
        <w:rPr>
          <w:rFonts w:ascii="Times New Roman" w:hAnsi="Times New Roman"/>
          <w:sz w:val="28"/>
          <w:szCs w:val="28"/>
        </w:rPr>
        <w:t>не набрали проходного балла.</w:t>
      </w:r>
    </w:p>
    <w:p w:rsidR="003E7205" w:rsidRDefault="003E7205" w:rsidP="003E7205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75B8">
        <w:rPr>
          <w:rFonts w:ascii="Times New Roman" w:hAnsi="Times New Roman"/>
          <w:sz w:val="28"/>
          <w:szCs w:val="28"/>
        </w:rPr>
        <w:lastRenderedPageBreak/>
        <w:t>По сравнению с 20</w:t>
      </w:r>
      <w:r>
        <w:rPr>
          <w:rFonts w:ascii="Times New Roman" w:hAnsi="Times New Roman"/>
          <w:sz w:val="28"/>
          <w:szCs w:val="28"/>
        </w:rPr>
        <w:t>10</w:t>
      </w:r>
      <w:r w:rsidRPr="00FE75B8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1</w:t>
      </w:r>
      <w:r w:rsidRPr="00FE75B8">
        <w:rPr>
          <w:rFonts w:ascii="Times New Roman" w:hAnsi="Times New Roman"/>
          <w:sz w:val="28"/>
          <w:szCs w:val="28"/>
        </w:rPr>
        <w:t xml:space="preserve"> учебным годом вырос средний балл по </w:t>
      </w:r>
      <w:r>
        <w:rPr>
          <w:rFonts w:ascii="Times New Roman" w:hAnsi="Times New Roman"/>
          <w:sz w:val="28"/>
          <w:szCs w:val="28"/>
        </w:rPr>
        <w:t>информатике</w:t>
      </w:r>
      <w:r w:rsidRPr="00FE75B8">
        <w:rPr>
          <w:rFonts w:ascii="Times New Roman" w:hAnsi="Times New Roman"/>
          <w:sz w:val="28"/>
          <w:szCs w:val="28"/>
        </w:rPr>
        <w:t>: 201</w:t>
      </w:r>
      <w:r>
        <w:rPr>
          <w:rFonts w:ascii="Times New Roman" w:hAnsi="Times New Roman"/>
          <w:sz w:val="28"/>
          <w:szCs w:val="28"/>
        </w:rPr>
        <w:t>1</w:t>
      </w:r>
      <w:r w:rsidRPr="00FE75B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70.5</w:t>
      </w:r>
      <w:r w:rsidRPr="00FE75B8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2</w:t>
      </w:r>
      <w:r w:rsidRPr="00FE75B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79,6;</w:t>
      </w:r>
      <w:r w:rsidRPr="00FE7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биологии 2011 – 65,7, 2012 – 74. Примерно на одинаковом уровне остался средний балл по русскому языку 2011-67,7, 2012 – 66.5; по химии 2011- 62,2, 2012 – 62,6. Понизился средний балл по таким предметам как история на 3 б, немецкий язык на 9,8 б, математика на 4,7 б, по физике на 6,3 б.</w:t>
      </w:r>
    </w:p>
    <w:p w:rsidR="00B86772" w:rsidRDefault="00B86772" w:rsidP="00B86772">
      <w:pPr>
        <w:pStyle w:val="a3"/>
        <w:tabs>
          <w:tab w:val="left" w:pos="1080"/>
        </w:tabs>
        <w:ind w:left="14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86772" w:rsidRPr="00016684" w:rsidRDefault="00B86772" w:rsidP="00B86772">
      <w:pPr>
        <w:pStyle w:val="a3"/>
        <w:tabs>
          <w:tab w:val="left" w:pos="1080"/>
        </w:tabs>
        <w:ind w:left="1440"/>
        <w:jc w:val="center"/>
        <w:rPr>
          <w:rFonts w:ascii="Times New Roman" w:hAnsi="Times New Roman"/>
          <w:b/>
          <w:i/>
          <w:sz w:val="28"/>
          <w:szCs w:val="28"/>
        </w:rPr>
      </w:pPr>
      <w:r w:rsidRPr="00016684">
        <w:rPr>
          <w:rFonts w:ascii="Times New Roman" w:hAnsi="Times New Roman"/>
          <w:b/>
          <w:i/>
          <w:sz w:val="28"/>
          <w:szCs w:val="28"/>
        </w:rPr>
        <w:t>Средний балл ЕГЭ по предметам 200</w:t>
      </w:r>
      <w:r>
        <w:rPr>
          <w:rFonts w:ascii="Times New Roman" w:hAnsi="Times New Roman"/>
          <w:b/>
          <w:i/>
          <w:sz w:val="28"/>
          <w:szCs w:val="28"/>
        </w:rPr>
        <w:t>8-</w:t>
      </w:r>
      <w:r w:rsidRPr="00016684">
        <w:rPr>
          <w:rFonts w:ascii="Times New Roman" w:hAnsi="Times New Roman"/>
          <w:b/>
          <w:i/>
          <w:sz w:val="28"/>
          <w:szCs w:val="28"/>
        </w:rPr>
        <w:t>201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016684">
        <w:rPr>
          <w:rFonts w:ascii="Times New Roman" w:hAnsi="Times New Roman"/>
          <w:b/>
          <w:i/>
          <w:sz w:val="28"/>
          <w:szCs w:val="28"/>
        </w:rPr>
        <w:t xml:space="preserve">  год</w:t>
      </w:r>
      <w:r>
        <w:rPr>
          <w:rFonts w:ascii="Times New Roman" w:hAnsi="Times New Roman"/>
          <w:b/>
          <w:i/>
          <w:sz w:val="28"/>
          <w:szCs w:val="28"/>
        </w:rPr>
        <w:t>а</w:t>
      </w:r>
    </w:p>
    <w:p w:rsidR="00B86772" w:rsidRDefault="00B86772" w:rsidP="003E7205">
      <w:pPr>
        <w:pStyle w:val="a3"/>
        <w:tabs>
          <w:tab w:val="left" w:pos="108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47"/>
        <w:gridCol w:w="1681"/>
        <w:gridCol w:w="1613"/>
        <w:gridCol w:w="1515"/>
        <w:gridCol w:w="1515"/>
      </w:tblGrid>
      <w:tr w:rsidR="00B86772" w:rsidTr="00591799">
        <w:trPr>
          <w:trHeight w:val="554"/>
        </w:trPr>
        <w:tc>
          <w:tcPr>
            <w:tcW w:w="3696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79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2008/2009</w:t>
            </w:r>
          </w:p>
        </w:tc>
        <w:tc>
          <w:tcPr>
            <w:tcW w:w="1701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2009/2010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2010/2011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2011/2012</w:t>
            </w:r>
          </w:p>
        </w:tc>
      </w:tr>
      <w:tr w:rsidR="00B86772" w:rsidTr="00591799">
        <w:tc>
          <w:tcPr>
            <w:tcW w:w="3696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9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701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62,48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C6">
              <w:rPr>
                <w:rFonts w:ascii="Times New Roman CYR" w:hAnsi="Times New Roman CYR"/>
                <w:bCs/>
                <w:sz w:val="26"/>
              </w:rPr>
              <w:t>67,</w:t>
            </w:r>
            <w:r>
              <w:rPr>
                <w:rFonts w:ascii="Times New Roman CYR" w:hAnsi="Times New Roman CYR"/>
                <w:bCs/>
                <w:sz w:val="26"/>
              </w:rPr>
              <w:t>7</w:t>
            </w:r>
          </w:p>
        </w:tc>
        <w:tc>
          <w:tcPr>
            <w:tcW w:w="1559" w:type="dxa"/>
          </w:tcPr>
          <w:p w:rsidR="00B86772" w:rsidRPr="008532C6" w:rsidRDefault="00B86772" w:rsidP="00591799">
            <w:pPr>
              <w:rPr>
                <w:rFonts w:ascii="Times New Roman CYR" w:hAnsi="Times New Roman CYR"/>
                <w:bCs/>
                <w:sz w:val="26"/>
              </w:rPr>
            </w:pPr>
            <w:r>
              <w:rPr>
                <w:rFonts w:ascii="Times New Roman CYR" w:hAnsi="Times New Roman CYR"/>
                <w:bCs/>
                <w:sz w:val="26"/>
              </w:rPr>
              <w:t>66,4</w:t>
            </w:r>
          </w:p>
        </w:tc>
      </w:tr>
      <w:tr w:rsidR="00B86772" w:rsidTr="00591799">
        <w:tc>
          <w:tcPr>
            <w:tcW w:w="3696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9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701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46,38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86772" w:rsidTr="00591799">
        <w:tc>
          <w:tcPr>
            <w:tcW w:w="3696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52.3</w:t>
            </w:r>
          </w:p>
        </w:tc>
        <w:tc>
          <w:tcPr>
            <w:tcW w:w="1701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52,39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B86772" w:rsidTr="00591799">
        <w:tc>
          <w:tcPr>
            <w:tcW w:w="3696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9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701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</w:tr>
      <w:tr w:rsidR="00B86772" w:rsidTr="00591799">
        <w:tc>
          <w:tcPr>
            <w:tcW w:w="3696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9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701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57,16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86772" w:rsidTr="00591799">
        <w:tc>
          <w:tcPr>
            <w:tcW w:w="3696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9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70,25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B86772" w:rsidTr="00591799">
        <w:tc>
          <w:tcPr>
            <w:tcW w:w="3696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9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1701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62,25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</w:tr>
      <w:tr w:rsidR="00B86772" w:rsidTr="00591799">
        <w:tc>
          <w:tcPr>
            <w:tcW w:w="3696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9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701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89,33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</w:p>
        </w:tc>
      </w:tr>
      <w:tr w:rsidR="00B86772" w:rsidTr="00591799">
        <w:tc>
          <w:tcPr>
            <w:tcW w:w="3696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9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86772" w:rsidTr="00591799">
        <w:tc>
          <w:tcPr>
            <w:tcW w:w="3696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9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701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63,75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B86772" w:rsidTr="00591799">
        <w:tc>
          <w:tcPr>
            <w:tcW w:w="3696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9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60,8</w:t>
            </w:r>
          </w:p>
        </w:tc>
        <w:tc>
          <w:tcPr>
            <w:tcW w:w="1701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B86772" w:rsidTr="00591799">
        <w:tc>
          <w:tcPr>
            <w:tcW w:w="3696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9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701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B86772" w:rsidRDefault="00B86772" w:rsidP="00591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19481B" w:rsidRDefault="0019481B" w:rsidP="0019481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9481B" w:rsidRPr="00B86772" w:rsidRDefault="0019481B" w:rsidP="0019481B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6772">
        <w:rPr>
          <w:rFonts w:ascii="Times New Roman" w:hAnsi="Times New Roman" w:cs="Times New Roman"/>
          <w:b/>
          <w:sz w:val="28"/>
          <w:szCs w:val="28"/>
          <w:u w:val="single"/>
        </w:rPr>
        <w:t>Подготовка к ЕГЭ и ГИА на 2012/2013 учебный год</w:t>
      </w:r>
    </w:p>
    <w:p w:rsidR="0019481B" w:rsidRPr="003E7205" w:rsidRDefault="0019481B" w:rsidP="001948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7205">
        <w:rPr>
          <w:rFonts w:ascii="Times New Roman" w:hAnsi="Times New Roman" w:cs="Times New Roman"/>
          <w:sz w:val="28"/>
          <w:szCs w:val="28"/>
          <w:u w:val="single"/>
        </w:rPr>
        <w:t>Работа с учащимися:</w:t>
      </w:r>
    </w:p>
    <w:p w:rsidR="0019481B" w:rsidRPr="003E7205" w:rsidRDefault="0019481B" w:rsidP="0019481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205">
        <w:rPr>
          <w:rFonts w:ascii="Times New Roman" w:hAnsi="Times New Roman" w:cs="Times New Roman"/>
          <w:sz w:val="28"/>
          <w:szCs w:val="28"/>
        </w:rPr>
        <w:t>- учебная деятельность</w:t>
      </w:r>
    </w:p>
    <w:p w:rsidR="0019481B" w:rsidRPr="003E7205" w:rsidRDefault="0019481B" w:rsidP="0019481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205">
        <w:rPr>
          <w:rFonts w:ascii="Times New Roman" w:hAnsi="Times New Roman" w:cs="Times New Roman"/>
          <w:sz w:val="28"/>
          <w:szCs w:val="28"/>
        </w:rPr>
        <w:t>- пробное тестирование («</w:t>
      </w:r>
      <w:proofErr w:type="spellStart"/>
      <w:r w:rsidRPr="003E7205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3E7205">
        <w:rPr>
          <w:rFonts w:ascii="Times New Roman" w:hAnsi="Times New Roman" w:cs="Times New Roman"/>
          <w:sz w:val="28"/>
          <w:szCs w:val="28"/>
        </w:rPr>
        <w:t>»)</w:t>
      </w:r>
    </w:p>
    <w:p w:rsidR="0019481B" w:rsidRPr="003E7205" w:rsidRDefault="0019481B" w:rsidP="0019481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7205">
        <w:rPr>
          <w:rFonts w:ascii="Times New Roman" w:hAnsi="Times New Roman" w:cs="Times New Roman"/>
          <w:sz w:val="28"/>
          <w:szCs w:val="28"/>
        </w:rPr>
        <w:t>индивидуальные занятия</w:t>
      </w:r>
      <w:r>
        <w:rPr>
          <w:rFonts w:ascii="Times New Roman" w:hAnsi="Times New Roman" w:cs="Times New Roman"/>
          <w:sz w:val="28"/>
          <w:szCs w:val="28"/>
        </w:rPr>
        <w:t>, консультации учителей-предметников</w:t>
      </w:r>
    </w:p>
    <w:p w:rsidR="0019481B" w:rsidRDefault="0019481B" w:rsidP="0019481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7205">
        <w:rPr>
          <w:rFonts w:ascii="Times New Roman" w:hAnsi="Times New Roman" w:cs="Times New Roman"/>
          <w:sz w:val="28"/>
          <w:szCs w:val="28"/>
        </w:rPr>
        <w:t>выявление «проблемных» учащихся</w:t>
      </w:r>
    </w:p>
    <w:p w:rsidR="0019481B" w:rsidRPr="003E7205" w:rsidRDefault="0019481B" w:rsidP="0019481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психолога по снижению уровня тревожности перед экзаменами</w:t>
      </w:r>
    </w:p>
    <w:p w:rsidR="0019481B" w:rsidRPr="003E7205" w:rsidRDefault="0019481B" w:rsidP="0019481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7205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</w:p>
    <w:p w:rsidR="0019481B" w:rsidRPr="003E7205" w:rsidRDefault="0019481B" w:rsidP="0019481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7205">
        <w:rPr>
          <w:rFonts w:ascii="Times New Roman" w:hAnsi="Times New Roman" w:cs="Times New Roman"/>
          <w:sz w:val="28"/>
          <w:szCs w:val="28"/>
        </w:rPr>
        <w:t xml:space="preserve">своевременное информирование о результатах учебы и пробных </w:t>
      </w:r>
      <w:r>
        <w:rPr>
          <w:rFonts w:ascii="Times New Roman" w:hAnsi="Times New Roman" w:cs="Times New Roman"/>
          <w:sz w:val="28"/>
          <w:szCs w:val="28"/>
        </w:rPr>
        <w:t>экзаменов</w:t>
      </w:r>
    </w:p>
    <w:p w:rsidR="0019481B" w:rsidRPr="003E7205" w:rsidRDefault="0019481B" w:rsidP="0019481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7205">
        <w:rPr>
          <w:rFonts w:ascii="Times New Roman" w:hAnsi="Times New Roman" w:cs="Times New Roman"/>
          <w:sz w:val="28"/>
          <w:szCs w:val="28"/>
        </w:rPr>
        <w:t xml:space="preserve"> контроль родителей за учебой и посещаемостью уроков</w:t>
      </w:r>
    </w:p>
    <w:p w:rsidR="0019481B" w:rsidRPr="003E7205" w:rsidRDefault="0019481B" w:rsidP="001948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 будут оформлять на </w:t>
      </w:r>
      <w:r w:rsidRPr="003E7205">
        <w:rPr>
          <w:rFonts w:ascii="Times New Roman" w:hAnsi="Times New Roman" w:cs="Times New Roman"/>
          <w:sz w:val="28"/>
          <w:szCs w:val="28"/>
        </w:rPr>
        <w:t xml:space="preserve"> каждого ученика 11-х и 9-х классов Индивидуальную карту подготовки к ЕГЭ и ГИА, отмечая результаты пробного тестирования в системе «</w:t>
      </w:r>
      <w:proofErr w:type="spellStart"/>
      <w:r w:rsidRPr="003E7205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3E7205">
        <w:rPr>
          <w:rFonts w:ascii="Times New Roman" w:hAnsi="Times New Roman" w:cs="Times New Roman"/>
          <w:sz w:val="28"/>
          <w:szCs w:val="28"/>
        </w:rPr>
        <w:t xml:space="preserve">» 1 раз в четверть, </w:t>
      </w:r>
      <w:r w:rsidRPr="003E7205">
        <w:rPr>
          <w:rFonts w:ascii="Times New Roman" w:hAnsi="Times New Roman" w:cs="Times New Roman"/>
          <w:sz w:val="28"/>
          <w:szCs w:val="28"/>
        </w:rPr>
        <w:lastRenderedPageBreak/>
        <w:t>оценок за полугодия и др. (для классного руководителя). Для преподавателей – карта подготовки к ЕГЭ по предмету на каждый выпускной класс. Карта позволяет выявить проблемных учащихся, наглядно показать  улучшение или ухудшение результатов, чтобы вовремя исправить ошибки, усилить работу. Ознакомит родителей с системой работы по подготовке выпускников к экзаменам.</w:t>
      </w:r>
    </w:p>
    <w:p w:rsidR="0019481B" w:rsidRDefault="0019481B" w:rsidP="001948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7E91">
        <w:rPr>
          <w:rFonts w:ascii="Times New Roman" w:eastAsia="Times New Roman" w:hAnsi="Times New Roman" w:cs="Times New Roman"/>
          <w:color w:val="000000"/>
          <w:sz w:val="28"/>
          <w:szCs w:val="28"/>
        </w:rPr>
        <w:t>еред психологами, педагогами и родителями встает проблема охраны психического здоровья школьников, для решения которой необходима продуманная система мероприятий, предусматривающая создание стабильной благоприятной атмосферы, уменьшение вероятности возникновения стрессовых ситуаций и повышение функциональных возможностей школьников.</w:t>
      </w:r>
    </w:p>
    <w:p w:rsidR="00B86772" w:rsidRDefault="00B86772" w:rsidP="00B867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847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тепень тревожности, напряжения у выпускников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(особенно у выпускников 9 классов) - </w:t>
      </w:r>
      <w:r w:rsidRPr="00847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повышенный уровень тревоги на экзамене приводит к дезорганизации деятельности, снижению концентрации внимания, работоспособности. </w:t>
      </w:r>
    </w:p>
    <w:p w:rsidR="007A1FD0" w:rsidRPr="007A1FD0" w:rsidRDefault="007A1FD0" w:rsidP="007A1FD0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A1FD0" w:rsidRPr="007A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529"/>
    <w:multiLevelType w:val="hybridMultilevel"/>
    <w:tmpl w:val="B10A5E80"/>
    <w:lvl w:ilvl="0" w:tplc="BF64D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E6E7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666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2CC1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2A83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EEDE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F2E7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69D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24D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F15FB2"/>
    <w:multiLevelType w:val="hybridMultilevel"/>
    <w:tmpl w:val="F170F264"/>
    <w:lvl w:ilvl="0" w:tplc="99B2B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BE4D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8450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301B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A835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9C3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7417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A34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42F1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9A6DD2"/>
    <w:multiLevelType w:val="hybridMultilevel"/>
    <w:tmpl w:val="F796CAFC"/>
    <w:lvl w:ilvl="0" w:tplc="C39A80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2C82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6EDB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CDA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F0F2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F6E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0EE2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087F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9AB7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617069A"/>
    <w:multiLevelType w:val="hybridMultilevel"/>
    <w:tmpl w:val="D310CE36"/>
    <w:lvl w:ilvl="0" w:tplc="67A228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2A20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DE04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927A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BA8C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ACEB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74AA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0E8C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58B9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FD0"/>
    <w:rsid w:val="001115DA"/>
    <w:rsid w:val="0019481B"/>
    <w:rsid w:val="001F3B52"/>
    <w:rsid w:val="003E7205"/>
    <w:rsid w:val="007A1FD0"/>
    <w:rsid w:val="0084728E"/>
    <w:rsid w:val="009D2FEF"/>
    <w:rsid w:val="00B33F71"/>
    <w:rsid w:val="00B8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FD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A1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Владелец07</dc:creator>
  <cp:keywords/>
  <dc:description/>
  <cp:lastModifiedBy>Владелец07</cp:lastModifiedBy>
  <cp:revision>3</cp:revision>
  <cp:lastPrinted>2012-09-04T12:49:00Z</cp:lastPrinted>
  <dcterms:created xsi:type="dcterms:W3CDTF">2012-09-04T11:40:00Z</dcterms:created>
  <dcterms:modified xsi:type="dcterms:W3CDTF">2012-09-05T06:34:00Z</dcterms:modified>
</cp:coreProperties>
</file>